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1" w:after="0" w:afterAutospacing="1" w:line="360" w:lineRule="auto"/>
        <w:ind w:firstLine="0" w:firstLineChars="0"/>
        <w:jc w:val="center"/>
        <w:rPr>
          <w:rFonts w:hint="eastAsia" w:ascii="方正小标宋简体" w:hAnsi="宋体" w:eastAsia="方正小标宋简体" w:cs="宋体"/>
          <w:bCs/>
          <w:color w:val="323232"/>
          <w:spacing w:val="3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323232"/>
          <w:spacing w:val="30"/>
          <w:kern w:val="0"/>
          <w:sz w:val="36"/>
          <w:szCs w:val="36"/>
          <w:shd w:val="clear" w:color="auto" w:fill="FFFFFF"/>
          <w:lang w:val="en-US" w:eastAsia="zh-CN"/>
        </w:rPr>
        <w:t>江西华亿工程建设有限公司</w:t>
      </w:r>
      <w:r>
        <w:rPr>
          <w:rFonts w:hint="eastAsia" w:ascii="方正小标宋简体" w:hAnsi="宋体" w:eastAsia="方正小标宋简体" w:cs="宋体"/>
          <w:bCs/>
          <w:color w:val="323232"/>
          <w:spacing w:val="30"/>
          <w:kern w:val="0"/>
          <w:sz w:val="36"/>
          <w:szCs w:val="36"/>
          <w:shd w:val="clear" w:color="auto" w:fill="FFFFFF"/>
        </w:rPr>
        <w:t>收购水利水电工程施工总承包叁级资质公司100%股权项目</w:t>
      </w:r>
    </w:p>
    <w:p>
      <w:pPr>
        <w:spacing w:beforeAutospacing="1" w:after="0" w:afterAutospacing="1" w:line="360" w:lineRule="auto"/>
        <w:ind w:firstLine="0" w:firstLineChars="0"/>
        <w:jc w:val="center"/>
        <w:rPr>
          <w:rFonts w:ascii="方正小标宋简体" w:hAnsi="宋体" w:eastAsia="方正小标宋简体" w:cs="宋体"/>
          <w:bCs/>
          <w:color w:val="323232"/>
          <w:spacing w:val="3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323232"/>
          <w:spacing w:val="30"/>
          <w:kern w:val="0"/>
          <w:sz w:val="36"/>
          <w:szCs w:val="36"/>
          <w:shd w:val="clear" w:color="auto" w:fill="FFFFFF"/>
        </w:rPr>
        <w:t>询价报价单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04" w:type="dxa"/>
            <w:vAlign w:val="center"/>
          </w:tcPr>
          <w:p>
            <w:pPr>
              <w:spacing w:after="0" w:line="3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公司名称</w:t>
            </w:r>
          </w:p>
        </w:tc>
        <w:tc>
          <w:tcPr>
            <w:tcW w:w="1704" w:type="dxa"/>
            <w:vAlign w:val="center"/>
          </w:tcPr>
          <w:p>
            <w:pPr>
              <w:spacing w:after="0" w:line="3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资质等级</w:t>
            </w:r>
          </w:p>
        </w:tc>
        <w:tc>
          <w:tcPr>
            <w:tcW w:w="1704" w:type="dxa"/>
            <w:vAlign w:val="center"/>
          </w:tcPr>
          <w:p>
            <w:pPr>
              <w:spacing w:after="0" w:line="3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安全生产许可证有效期</w:t>
            </w:r>
          </w:p>
        </w:tc>
        <w:tc>
          <w:tcPr>
            <w:tcW w:w="1705" w:type="dxa"/>
            <w:vAlign w:val="center"/>
          </w:tcPr>
          <w:p>
            <w:pPr>
              <w:spacing w:after="0" w:line="3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报价（万元）</w:t>
            </w:r>
          </w:p>
        </w:tc>
        <w:tc>
          <w:tcPr>
            <w:tcW w:w="1705" w:type="dxa"/>
            <w:vAlign w:val="center"/>
          </w:tcPr>
          <w:p>
            <w:pPr>
              <w:spacing w:after="0" w:line="300" w:lineRule="exact"/>
              <w:ind w:firstLine="0" w:firstLineChars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04" w:type="dxa"/>
          </w:tcPr>
          <w:p>
            <w:pPr>
              <w:spacing w:after="0" w:line="240" w:lineRule="auto"/>
              <w:ind w:firstLine="0" w:firstLineChars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40" w:lineRule="auto"/>
              <w:ind w:firstLine="0" w:firstLineChars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after="0" w:line="240" w:lineRule="auto"/>
              <w:ind w:firstLine="0" w:firstLineChars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40" w:lineRule="auto"/>
              <w:ind w:firstLine="0" w:firstLineChars="0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after="0" w:line="240" w:lineRule="auto"/>
              <w:ind w:firstLine="0" w:firstLineChars="0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0" w:line="560" w:lineRule="exact"/>
        <w:ind w:firstLine="440" w:firstLineChars="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备注：报价须包含公司注册地迁移至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江西省赣州市石城县</w:t>
      </w:r>
      <w:r>
        <w:rPr>
          <w:rFonts w:hint="eastAsia" w:ascii="Calibri" w:hAnsi="Calibri" w:eastAsia="宋体" w:cs="Times New Roman"/>
          <w:sz w:val="28"/>
          <w:szCs w:val="28"/>
        </w:rPr>
        <w:t>的迁移变更费用、税费等一切费用。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DhlNDU1ZWUwNDdhZmJjMTFiMjI3MzljZTY3MDAifQ=="/>
  </w:docVars>
  <w:rsids>
    <w:rsidRoot w:val="00000000"/>
    <w:rsid w:val="51A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52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2024-03-29T08:11:35Z</dcterms:created>
  <dc:creator>Administrator</dc:creator>
  <cp:lastModifiedBy>罗煒</cp:lastModifiedBy>
  <dcterms:modified xsi:type="dcterms:W3CDTF">2024-03-29T08:11:41Z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6170C822A22049D18E4A3FF31A5AD83D_12</vt:lpwstr>
  </property>
</Properties>
</file>